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Система розничных финансовых услуг</w:t>
            </w:r>
          </w:p>
          <w:p>
            <w:pPr>
              <w:jc w:val="center"/>
              <w:spacing w:after="0" w:line="240" w:lineRule="auto"/>
              <w:rPr>
                <w:sz w:val="32"/>
                <w:szCs w:val="32"/>
              </w:rPr>
            </w:pPr>
            <w:r>
              <w:rPr>
                <w:rFonts w:ascii="Times New Roman" w:hAnsi="Times New Roman" w:cs="Times New Roman"/>
                <w:color w:val="#000000"/>
                <w:sz w:val="32"/>
                <w:szCs w:val="32"/>
              </w:rPr>
              <w:t> К.М.01.ДВ.01.02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17.01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/Долженко С.П./</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«Система розничных финансовых услуг»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К.М.01.ДВ.01.02 «Система розничных финансовых услуг».</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«Система розничных финансовых услуг»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мониторинг конъюнктуры рынка банковских услуг, рынка ценных бумаг, иностранной валюты, товарно-сырьевых рынков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современные информационные технологии, справочные и информационные системы в сфере права, финансового планирования, управления личными финансами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знать современную финансовую систему и финансовый рынок, историю развития финансовой системы и финансового рынка</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знать базовые банковские, страховые и инвестиционные продукты и услуги, характеристики финансовых продуктов и услуг</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уметь производить информационно-аналитическую работу по рынку финансовых, банковских, страховых и инвестиционных продуктов и услуг</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уметь применять универсальное и специализированное программное обеспечение, необходимое для сбора и анализа информации, работать в автоматизированных системах информационного обеспечения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ПК-1.16 владеть  навыками составления аналитических заключений, рейтингов, прогнозов с целью предотвращения сделок с недобросовестными партнерами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ПК-1.20 владеть навыками  мониторинга информационных источников финансовой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ПК-1.21 владеть навыками  анализа состояния и прогнозирование изменений инвестиционного и информационного рынков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ПК-1.22 Владеть навыками  применения на практике нормативных правовых актов в соответствующих областях знаний.</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К.М.01.ДВ.01.02 «Система розничных финансовых услуг» относится к обязательной части, является дисциплиной Блока Б1. «Дисциплины (модули)». Модуль "Рынок финансовых услуг"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Экономические и юридические аспекты оказания финансовых и консультационных услуг</w:t>
            </w:r>
          </w:p>
          <w:p>
            <w:pPr>
              <w:jc w:val="center"/>
              <w:spacing w:after="0" w:line="240" w:lineRule="auto"/>
              <w:rPr>
                <w:sz w:val="22"/>
                <w:szCs w:val="22"/>
              </w:rPr>
            </w:pPr>
            <w:r>
              <w:rPr>
                <w:rFonts w:ascii="Times New Roman" w:hAnsi="Times New Roman" w:cs="Times New Roman"/>
                <w:color w:val="#000000"/>
                <w:sz w:val="22"/>
                <w:szCs w:val="22"/>
              </w:rPr>
              <w:t> Макроэкономика</w:t>
            </w:r>
          </w:p>
          <w:p>
            <w:pPr>
              <w:jc w:val="center"/>
              <w:spacing w:after="0" w:line="240" w:lineRule="auto"/>
              <w:rPr>
                <w:sz w:val="22"/>
                <w:szCs w:val="22"/>
              </w:rPr>
            </w:pPr>
            <w:r>
              <w:rPr>
                <w:rFonts w:ascii="Times New Roman" w:hAnsi="Times New Roman" w:cs="Times New Roman"/>
                <w:color w:val="#000000"/>
                <w:sz w:val="22"/>
                <w:szCs w:val="22"/>
              </w:rPr>
              <w:t> Компьютерные программы в профессиональной деятельности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Информационные технологии управления рисками</w:t>
            </w:r>
          </w:p>
          <w:p>
            <w:pPr>
              <w:jc w:val="center"/>
              <w:spacing w:after="0" w:line="240" w:lineRule="auto"/>
              <w:rPr>
                <w:sz w:val="22"/>
                <w:szCs w:val="22"/>
              </w:rPr>
            </w:pPr>
            <w:r>
              <w:rPr>
                <w:rFonts w:ascii="Times New Roman" w:hAnsi="Times New Roman" w:cs="Times New Roman"/>
                <w:color w:val="#000000"/>
                <w:sz w:val="22"/>
                <w:szCs w:val="22"/>
              </w:rPr>
              <w:t> Основы аудита</w:t>
            </w:r>
          </w:p>
          <w:p>
            <w:pPr>
              <w:jc w:val="center"/>
              <w:spacing w:after="0" w:line="240" w:lineRule="auto"/>
              <w:rPr>
                <w:sz w:val="22"/>
                <w:szCs w:val="22"/>
              </w:rPr>
            </w:pPr>
            <w:r>
              <w:rPr>
                <w:rFonts w:ascii="Times New Roman" w:hAnsi="Times New Roman" w:cs="Times New Roman"/>
                <w:color w:val="#000000"/>
                <w:sz w:val="22"/>
                <w:szCs w:val="22"/>
              </w:rPr>
              <w:t> Финансовый консалтинг</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УК-10</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Розничные финансовые услуги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2.Правовые основы розничных финансовых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Финансовое право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Развитие финансовых рынков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3.Технологии построения финансовых супермаркетов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4.Рынок розничных платежных услуг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5.Интернет-банкинг и развитие розничных финансовых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6.Проблемы безопасности розничных финансовых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Стратегии консолидации финансового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302.9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Розничные финансовые услуги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Розничные финансовые услуги – один из наиболее активно развивающихся рынков в России. Экономическая стабильность в стране и развитие «среднего класса» не только увеличило потребление стандартных финансовых услуг (банковские счета, пластиковые карточки, кредиты, страховые полисы), но и дало толчок в развитии потребления таких услуг как паевые инвестиционные фонды, накопительные страховые программы, доверительное управление активами.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2.Правовые основы розничных финансовых услуг</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 территории Российской Федерации введен институт финансового уполномоченного, который призван защищать права потребителей в сфере кредитования и на страховом рынке. С 03.09.2018 г. вступил в силу (за исключением некоторых положений) Федеральный закон от 4 июня 2018 года № 123-ФЗ «Об уполномоченном по правам потребителей финансовых услуг». Закон устанавливает порядок досудебного урегулирования споров между финансовыми организациями и их клиентами, а также правовые основы взаимодействия финансового уполномоченного с данными организациями.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3.Технологии построения финансовых супермаркетов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Спрос на финансоваые услуги в условиях массового перехода а дистанционное обслуживапние стимулирует развитие финансовых супермаркетов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4.Рынок розничных платежных услуг в России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Безусловным лидером в российском банковском секторе является ПАО «Сбербанк России», однако и другие банки активно укрепляют свои позиции. Среди частных банков по частоте использования услуг розничными клиентами лидирует АО «Тинькофф Банк».</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5.Интернет-банкинг и развитие розничных финансовых услуг</w:t>
            </w:r>
          </w:p>
        </w:tc>
      </w:tr>
      <w:tr>
        <w:trPr>
          <w:trHeight w:hRule="exact" w:val="761.90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Интернет-банкинг позволяет осуществлять полный контроль за состоянием всех своих счетов в банке; осуществлять перевод денежных средств по банковским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реквизитам; оплачивать налоги, услуги ЖКХ, штрафы и т.п.</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6.Проблемы безопасности розничных финансовых услуг</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современном мире потребительская грамотность пользователей банковских услуг растет за счет повышения осведомленности клиентов о банках, их услугах и условиях обслуживания, а также благодаря развитию личного опыта граждан при обслуживании у тех или иных игроков финансового рынка.</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Стратегии консолидации финансового рынка</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Технологическая поддержка интеграции на одной площадке различных финансовых услуг. Как сохранить качественный сервис при оформлении сделок в финансовом супермаркете?</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2"/>
        </w:trPr>
        <w:tc>
          <w:tcPr>
            <w:tcW w:w="9640" w:type="dxa"/>
          </w:tcPr>
          <w:p/>
        </w:tc>
      </w:tr>
      <w:tr>
        <w:trPr>
          <w:trHeight w:hRule="exact" w:val="314.58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473"/>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Финансовое право в РФ</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«Система розничных финансовых услуг» / Долженко С.П..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Туганов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Трофимов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Российская</w:t>
            </w:r>
            <w:r>
              <w:rPr/>
              <w:t xml:space="preserve"> </w:t>
            </w:r>
            <w:r>
              <w:rPr>
                <w:rFonts w:ascii="Times New Roman" w:hAnsi="Times New Roman" w:cs="Times New Roman"/>
                <w:color w:val="#000000"/>
                <w:sz w:val="24"/>
                <w:szCs w:val="24"/>
              </w:rPr>
              <w:t>таможенная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978-5-9590-0968-7.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http://www.iprbookshop.ru/84869.html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Финансово-кредитные</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Балакина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Болдырева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Вуняк</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Горловская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Огорелкова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Горловская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Финансово-кредитные</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Омск:</w:t>
            </w:r>
            <w:r>
              <w:rPr/>
              <w:t xml:space="preserve"> </w:t>
            </w:r>
            <w:r>
              <w:rPr>
                <w:rFonts w:ascii="Times New Roman" w:hAnsi="Times New Roman" w:cs="Times New Roman"/>
                <w:color w:val="#000000"/>
                <w:sz w:val="24"/>
                <w:szCs w:val="24"/>
              </w:rPr>
              <w:t>Омский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w:t>
            </w:r>
            <w:r>
              <w:rPr/>
              <w:t xml:space="preserve"> </w:t>
            </w:r>
            <w:r>
              <w:rPr>
                <w:rFonts w:ascii="Times New Roman" w:hAnsi="Times New Roman" w:cs="Times New Roman"/>
                <w:color w:val="#000000"/>
                <w:sz w:val="24"/>
                <w:szCs w:val="24"/>
              </w:rPr>
              <w:t>Ф.М.</w:t>
            </w:r>
            <w:r>
              <w:rPr/>
              <w:t xml:space="preserve"> </w:t>
            </w:r>
            <w:r>
              <w:rPr>
                <w:rFonts w:ascii="Times New Roman" w:hAnsi="Times New Roman" w:cs="Times New Roman"/>
                <w:color w:val="#000000"/>
                <w:sz w:val="24"/>
                <w:szCs w:val="24"/>
              </w:rPr>
              <w:t>Достоевского,</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978-5-7779-1918-2.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http://www.iprbookshop.ru/59675.html</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Международный</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рынок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Эскиндаров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Антропов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Балюк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Белянчикова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Горбунова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Диденко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Игнатова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Навой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Платонова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Прудникова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Рубцов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Хесин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Хмыз</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Ярыгина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Звонова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978-5-9916-8904-5.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https://urait.ru/bcode/433807</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Михайленко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978-5-534-01273-6.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https://urait.ru/bcode/432085</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Строгонова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Помазан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Краснодар,</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Южный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менеджмента,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http://www.iprbookshop.ru/70296.html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Эриашвили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Григорьев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Финансовое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978-5-238-02936-8.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http://www.iprbookshop.ru/71067.html</w:t>
            </w:r>
            <w:r>
              <w:rPr/>
              <w:t xml:space="preserve"> </w:t>
            </w:r>
          </w:p>
        </w:tc>
      </w:tr>
      <w:tr>
        <w:trPr>
          <w:trHeight w:hRule="exact" w:val="1366.95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услуги</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всех?</w:t>
            </w:r>
            <w:r>
              <w:rPr/>
              <w:t xml:space="preserve"> </w:t>
            </w:r>
            <w:r>
              <w:rPr>
                <w:rFonts w:ascii="Times New Roman" w:hAnsi="Times New Roman" w:cs="Times New Roman"/>
                <w:color w:val="#000000"/>
                <w:sz w:val="24"/>
                <w:szCs w:val="24"/>
              </w:rPr>
              <w:t>Стратегии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расширения</w:t>
            </w:r>
            <w:r>
              <w:rPr/>
              <w:t xml:space="preserve"> </w:t>
            </w:r>
            <w:r>
              <w:rPr>
                <w:rFonts w:ascii="Times New Roman" w:hAnsi="Times New Roman" w:cs="Times New Roman"/>
                <w:color w:val="#000000"/>
                <w:sz w:val="24"/>
                <w:szCs w:val="24"/>
              </w:rPr>
              <w:t>доступа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Демиргюч-Кунт</w:t>
            </w:r>
            <w:r>
              <w:rPr/>
              <w:t xml:space="preserve"> </w:t>
            </w:r>
            <w:r>
              <w:rPr>
                <w:rFonts w:ascii="Times New Roman" w:hAnsi="Times New Roman" w:cs="Times New Roman"/>
                <w:color w:val="#000000"/>
                <w:sz w:val="24"/>
                <w:szCs w:val="24"/>
              </w:rPr>
              <w:t>Ашли,</w:t>
            </w:r>
            <w:r>
              <w:rPr/>
              <w:t xml:space="preserve"> </w:t>
            </w:r>
            <w:r>
              <w:rPr>
                <w:rFonts w:ascii="Times New Roman" w:hAnsi="Times New Roman" w:cs="Times New Roman"/>
                <w:color w:val="#000000"/>
                <w:sz w:val="24"/>
                <w:szCs w:val="24"/>
              </w:rPr>
              <w:t>Бек</w:t>
            </w:r>
            <w:r>
              <w:rPr/>
              <w:t xml:space="preserve"> </w:t>
            </w:r>
            <w:r>
              <w:rPr>
                <w:rFonts w:ascii="Times New Roman" w:hAnsi="Times New Roman" w:cs="Times New Roman"/>
                <w:color w:val="#000000"/>
                <w:sz w:val="24"/>
                <w:szCs w:val="24"/>
              </w:rPr>
              <w:t>Торстен,</w:t>
            </w:r>
            <w:r>
              <w:rPr/>
              <w:t xml:space="preserve"> </w:t>
            </w:r>
            <w:r>
              <w:rPr>
                <w:rFonts w:ascii="Times New Roman" w:hAnsi="Times New Roman" w:cs="Times New Roman"/>
                <w:color w:val="#000000"/>
                <w:sz w:val="24"/>
                <w:szCs w:val="24"/>
              </w:rPr>
              <w:t>Хонован</w:t>
            </w:r>
            <w:r>
              <w:rPr/>
              <w:t xml:space="preserve"> </w:t>
            </w:r>
            <w:r>
              <w:rPr>
                <w:rFonts w:ascii="Times New Roman" w:hAnsi="Times New Roman" w:cs="Times New Roman"/>
                <w:color w:val="#000000"/>
                <w:sz w:val="24"/>
                <w:szCs w:val="24"/>
              </w:rPr>
              <w:t>Патрик,</w:t>
            </w:r>
            <w:r>
              <w:rPr/>
              <w:t xml:space="preserve"> </w:t>
            </w:r>
            <w:r>
              <w:rPr>
                <w:rFonts w:ascii="Times New Roman" w:hAnsi="Times New Roman" w:cs="Times New Roman"/>
                <w:color w:val="#000000"/>
                <w:sz w:val="24"/>
                <w:szCs w:val="24"/>
              </w:rPr>
              <w:t>Шафикова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услуги</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всех?</w:t>
            </w:r>
            <w:r>
              <w:rPr/>
              <w:t xml:space="preserve"> </w:t>
            </w:r>
            <w:r>
              <w:rPr>
                <w:rFonts w:ascii="Times New Roman" w:hAnsi="Times New Roman" w:cs="Times New Roman"/>
                <w:color w:val="#000000"/>
                <w:sz w:val="24"/>
                <w:szCs w:val="24"/>
              </w:rPr>
              <w:t>Стратегии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расширения</w:t>
            </w:r>
            <w:r>
              <w:rPr/>
              <w:t xml:space="preserve"> </w:t>
            </w:r>
            <w:r>
              <w:rPr>
                <w:rFonts w:ascii="Times New Roman" w:hAnsi="Times New Roman" w:cs="Times New Roman"/>
                <w:color w:val="#000000"/>
                <w:sz w:val="24"/>
                <w:szCs w:val="24"/>
              </w:rPr>
              <w:t>доступа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Паблишер,</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978-5-9614-1465-3.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http://www.iprbookshop.ru/82432.html</w:t>
            </w:r>
            <w:r>
              <w:rPr/>
              <w:t xml:space="preserve"> </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Финансовое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сост.Львова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Омск:</w:t>
            </w:r>
            <w:r>
              <w:rPr/>
              <w:t xml:space="preserve"> </w:t>
            </w:r>
            <w:r>
              <w:rPr>
                <w:rFonts w:ascii="Times New Roman" w:hAnsi="Times New Roman" w:cs="Times New Roman"/>
                <w:color w:val="#000000"/>
                <w:sz w:val="24"/>
                <w:szCs w:val="24"/>
              </w:rPr>
              <w:t>Омская</w:t>
            </w:r>
            <w:r>
              <w:rPr/>
              <w:t xml:space="preserve"> </w:t>
            </w:r>
            <w:r>
              <w:rPr>
                <w:rFonts w:ascii="Times New Roman" w:hAnsi="Times New Roman" w:cs="Times New Roman"/>
                <w:color w:val="#000000"/>
                <w:sz w:val="24"/>
                <w:szCs w:val="24"/>
              </w:rPr>
              <w:t>юридическая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978-5-98065-170-1.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http://www.iprbookshop.ru/86182.html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рынок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его</w:t>
            </w:r>
            <w:r>
              <w:rPr/>
              <w:t xml:space="preserve"> </w:t>
            </w:r>
            <w:r>
              <w:rPr>
                <w:rFonts w:ascii="Times New Roman" w:hAnsi="Times New Roman" w:cs="Times New Roman"/>
                <w:color w:val="#000000"/>
                <w:sz w:val="24"/>
                <w:szCs w:val="24"/>
              </w:rPr>
              <w:t>роль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инвестиционном</w:t>
            </w:r>
            <w:r>
              <w:rPr/>
              <w:t xml:space="preserve"> </w:t>
            </w:r>
            <w:r>
              <w:rPr>
                <w:rFonts w:ascii="Times New Roman" w:hAnsi="Times New Roman" w:cs="Times New Roman"/>
                <w:color w:val="#000000"/>
                <w:sz w:val="24"/>
                <w:szCs w:val="24"/>
              </w:rPr>
              <w:t>обеспечении</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Ничкасова,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рынок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его</w:t>
            </w:r>
            <w:r>
              <w:rPr/>
              <w:t xml:space="preserve"> </w:t>
            </w:r>
            <w:r>
              <w:rPr>
                <w:rFonts w:ascii="Times New Roman" w:hAnsi="Times New Roman" w:cs="Times New Roman"/>
                <w:color w:val="#000000"/>
                <w:sz w:val="24"/>
                <w:szCs w:val="24"/>
              </w:rPr>
              <w:t>роль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инвестиционном</w:t>
            </w:r>
            <w:r>
              <w:rPr/>
              <w:t xml:space="preserve"> </w:t>
            </w:r>
            <w:r>
              <w:rPr>
                <w:rFonts w:ascii="Times New Roman" w:hAnsi="Times New Roman" w:cs="Times New Roman"/>
                <w:color w:val="#000000"/>
                <w:sz w:val="24"/>
                <w:szCs w:val="24"/>
              </w:rPr>
              <w:t>обеспечении</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978-5-4487-0735-3.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http://www.iprbookshop.ru/99403.html</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6567.9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81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98.3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444.67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осуществления образовательного процесса по дисциплине</w:t>
            </w:r>
          </w:p>
        </w:tc>
      </w:tr>
      <w:tr>
        <w:trPr>
          <w:trHeight w:hRule="exact" w:val="1508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2024-2025_ФГОС3++2024_Бак-ОЗФО-Э(ФКиА)(24)_plx_Система розничных финансовых услуг</dc:title>
  <dc:creator>FastReport.NET</dc:creator>
</cp:coreProperties>
</file>